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30ECB">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36"/>
          <w:szCs w:val="36"/>
        </w:rPr>
      </w:pPr>
      <w:r>
        <w:rPr>
          <w:rFonts w:hint="eastAsia" w:ascii="黑体" w:hAnsi="黑体" w:eastAsia="黑体" w:cs="黑体"/>
          <w:sz w:val="30"/>
          <w:szCs w:val="30"/>
        </w:rPr>
        <w:t>当“产量第一”遇到“算力第一”</w:t>
      </w:r>
    </w:p>
    <w:p w14:paraId="3C8C0B6D">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36"/>
          <w:szCs w:val="36"/>
        </w:rPr>
      </w:pPr>
      <w:r>
        <w:rPr>
          <w:rFonts w:hint="eastAsia" w:ascii="黑体" w:hAnsi="黑体" w:eastAsia="黑体" w:cs="黑体"/>
          <w:sz w:val="36"/>
          <w:szCs w:val="36"/>
        </w:rPr>
        <w:t>河北钢铁“算”出三本账</w:t>
      </w:r>
      <w:bookmarkStart w:id="0" w:name="_GoBack"/>
      <w:bookmarkEnd w:id="0"/>
    </w:p>
    <w:p w14:paraId="611B50D1">
      <w:pPr>
        <w:keepNext w:val="0"/>
        <w:keepLines w:val="0"/>
        <w:pageBreakBefore w:val="0"/>
        <w:widowControl w:val="0"/>
        <w:kinsoku/>
        <w:wordWrap/>
        <w:overflowPunct/>
        <w:topLinePunct w:val="0"/>
        <w:autoSpaceDE/>
        <w:autoSpaceDN/>
        <w:bidi w:val="0"/>
        <w:adjustRightInd/>
        <w:snapToGrid/>
        <w:jc w:val="center"/>
        <w:textAlignment w:val="auto"/>
        <w:rPr>
          <w:rFonts w:hint="eastAsia"/>
        </w:rPr>
      </w:pPr>
      <w:r>
        <w:rPr>
          <w:rFonts w:hint="eastAsia"/>
          <w:lang w:val="en-US" w:eastAsia="zh-CN"/>
        </w:rPr>
        <w:drawing>
          <wp:inline distT="0" distB="0" distL="114300" distR="114300">
            <wp:extent cx="5273675" cy="3195320"/>
            <wp:effectExtent l="0" t="0" r="9525" b="508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4"/>
                    <a:stretch>
                      <a:fillRect/>
                    </a:stretch>
                  </pic:blipFill>
                  <pic:spPr>
                    <a:xfrm>
                      <a:off x="0" y="0"/>
                      <a:ext cx="5273675" cy="3195320"/>
                    </a:xfrm>
                    <a:prstGeom prst="rect">
                      <a:avLst/>
                    </a:prstGeom>
                    <a:noFill/>
                    <a:ln w="9525">
                      <a:noFill/>
                    </a:ln>
                  </pic:spPr>
                </pic:pic>
              </a:graphicData>
            </a:graphic>
          </wp:inline>
        </w:drawing>
      </w:r>
    </w:p>
    <w:p w14:paraId="266CF57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首钢迁钢公司热轧作业部酸洗板材作业区，机器人在给钢卷贴标。 新华社发（梁玉水 摄）</w:t>
      </w:r>
    </w:p>
    <w:p w14:paraId="518846F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□本报记者 王丽平 杨建民 李代姣</w:t>
      </w:r>
    </w:p>
    <w:p w14:paraId="5790B7E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在我国产业版图上，“钢铁”一直是河北最鲜明的标签之一，全省产能占全国的五分之一。</w:t>
      </w:r>
    </w:p>
    <w:p w14:paraId="473F6C2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以前，河北钢铁常因“大而不精”被贴上“高耗能”“粗放式”等标签。如今，一个崭新的标签正与这个“巨无霸”传统产业深度融合：河北综合算力指数连续两年排名全国第一，其中人工智能算力更是迅猛增长，钢铁大模型已经成为钢铁产业高端化发展最强劲的动力源之一。</w:t>
      </w:r>
    </w:p>
    <w:p w14:paraId="6045D3D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12月30日，一个令全国钢铁行业为之振奋的消息传来——河北省钢铁工业垂直大模型应用服务平台完成系统开发，即将投入应用。</w:t>
      </w:r>
    </w:p>
    <w:p w14:paraId="4626C22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世界钢铁看中国，中国钢铁看河北。在“十四五”收官之际，“产量全国第一”的河北钢铁，遇到“算力全国第一”的河北新标签，将“算”出怎样的高质量发展新账本？</w:t>
      </w:r>
    </w:p>
    <w:p w14:paraId="7FF54D9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“算”出提质增效经济账</w:t>
      </w:r>
    </w:p>
    <w:p w14:paraId="494CE1D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12月25日，记者走进河北永洋特钢集团有限公司（以下简称“永洋特钢”）智控中心。巨大的屏幕上，一连串数字和一条条曲线实时跳动，展示着钢铁冶炼各个环节的运行情况。</w:t>
      </w:r>
    </w:p>
    <w:p w14:paraId="51FA06D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过去炼钢全凭老师傅的经验，现在我们靠数据精打细算。”永洋特钢企管部部长代子伟指着屏幕对记者说。记者仔细察看智控中心实时监控画面，发现以往钢花飞溅、人来人往的转炉操作区，如今已经看不到工人忙碌的身影。“脚步停下来，数据跑起来。”代子伟说，“这一静一动的反差背后，是一本提质增效的经济账。”</w:t>
      </w:r>
    </w:p>
    <w:p w14:paraId="47145DD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2025年2月，我们上线的‘智能炼钢大模型’就像一个会学习、能预判的‘超级AI炼钢工’。这个‘AI炼钢工’一上岗可了不得，能替代人工操作，实现‘一键炼钢’，让转炉冶炼终点碳合格率从75%提升到97%。”代子伟说。这是钢铁冶炼过程中的一个关键技术指标，简单说就是炼钢结束后，钢水中的碳含量一次就命中目标范围的成功率。碳含量控制得越精准，一次成功的炉次就越多，合格率也就越高。</w:t>
      </w:r>
    </w:p>
    <w:p w14:paraId="6E5BF0D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转炉炼钢是一个复杂的“黑箱”化学反应过程——在巨大的转炉里向高温铁水中吹入高压氧气，短短5分钟内完成脱碳、升温、去除杂质等一系列反应。每批铁水的成分、温度不同，冶炼过程中氧气流量、枪位高度的微小变化，都会影响终点碳含量的精准度。</w:t>
      </w:r>
    </w:p>
    <w:p w14:paraId="735495B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“人工冶炼大多依靠老师傅对火焰的观察、对声音的判断，生产稳定性差，75%的合格率已经接近上限。”代子伟说。</w:t>
      </w:r>
    </w:p>
    <w:p w14:paraId="4B487D5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我们的大模型‘学习’了20万炉稳定、可靠的冶炼历史数据，每秒能处理上万个传感器的数据，动态调整吹炼曲线，‘一炉一策’，提前给出最优控制方案，实现精准命中。”代子伟给记者算了一笔账：终点碳合格率从75%提高到97%，意味着更少的热量和原料损耗，这直接反映在了成本上——平均每吨钢的钢铁料消耗降低了4.5公斤，冶炼周期从35分钟压缩到30分钟，折算下来，吨钢成本降低20元以上。</w:t>
      </w:r>
    </w:p>
    <w:p w14:paraId="51BF0C5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这本提质增效的经济账，河北多家钢铁企业越算越明晰——</w:t>
      </w:r>
    </w:p>
    <w:p w14:paraId="705B2B7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在河钢唐钢，“一体化生产排程大模型”将原材料库存周转时间从10天压缩到5天，热轧、冷轧制造周期也分别缩短了5天和2天，每年由此创造效益1000余万元；</w:t>
      </w:r>
    </w:p>
    <w:p w14:paraId="14192CB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在河钢邯钢，依托“质量大模型”，重点产品合格率提升8%，每年减少损失1260万元；</w:t>
      </w:r>
    </w:p>
    <w:p w14:paraId="217EC51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在首钢迁钢，人工智能模型参与生产管控后，每年为企业节省成本7000万元，年减排二氧化碳4.02万吨；</w:t>
      </w:r>
    </w:p>
    <w:p w14:paraId="39A8A7A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w:t>
      </w:r>
    </w:p>
    <w:p w14:paraId="53483E2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来自河北省工业和信息化厅的数据显示，目前，全省钢铁企业均已不同程度地应用了人工智能大模型，超过半数的钢铁企业正深化大模型在工业智能控制领域的应用。截至2025年12月，已有3个钢铁垂直大模型通过国家网信办备案。</w:t>
      </w:r>
    </w:p>
    <w:p w14:paraId="5C2D776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随之而来的效益也显而易见：2025年1月至11月，河北省钢铁行业利润总额281.35亿元，比上年同期增长16.8倍；吨钢利润比全国高出26.25％。</w:t>
      </w:r>
    </w:p>
    <w:p w14:paraId="446D0D5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代子伟告诉记者：“每一项数据的优化，对应的都是实打实的利润。数智化改造走的不是烧钱的老路子，而是赚钱的新路子。”</w:t>
      </w:r>
    </w:p>
    <w:p w14:paraId="2FDF0850">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“算”出转型升级创新账</w:t>
      </w:r>
    </w:p>
    <w:p w14:paraId="096A99E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车间里提质增效的经济账，映射的是钢铁产业对转型升级的迫切需求。那么，钢铁大模型又将如何撑起一本关乎未来的创新账？</w:t>
      </w:r>
    </w:p>
    <w:p w14:paraId="6EEAA76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这本账的基础是强大的算力引擎——截至2025年三季度，河北省在用机架规模达224.5万架，占全国17.96%；智算规模更是高达249EFLOPS（每秒百亿亿次浮点运算），占全国的23.65%。张家口、廊坊、石家庄等地密集布局的数据中心，共同组成了一个支撑“钢铁大脑”高速运转的算力网络。</w:t>
      </w:r>
    </w:p>
    <w:p w14:paraId="3362CCF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而雄厚的钢铁产业根基则是这本账上厚重的“原始资产”。中国工程院院士、东北大学材料科学与工程学院教授王国栋曾带领团队深度参与了永洋特钢“智能炼钢大模型”的研发。他说，河北钢铁产业体量大，生产、物流等每一个环节都日夜不停产生着海量数据。工艺流程中每一个百分点的优化提升，带来的都是数以亿计的经济价值。“这种‘要钢有钢、要数有数’，痛点清晰、需求迫切的工业场景，为新技术的应用提供了落地土壤，让实验室里的创新成果在真实的生产过程中得到验证。”</w:t>
      </w:r>
    </w:p>
    <w:p w14:paraId="604CCAB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以永洋特钢为例，东北大学团队为钢铁冶炼“智慧大脑”提供了“核心算法”，华为技术有限公司帮助企业建设了本地私有云，提供可靠的CPU（中央处理器）算力，相当于搭建了一个安全、专属的“本地高速公路”。当“智慧大脑”需要高强度学习时，则通过中国联通河北分公司提供的“云端超级计算中心”获取海量GPU（图形处理器）算力。这套“本地”与“云端”协同的架构，让“智慧大脑”既能安全思考，又能获得巨大的算力支持，加速了钢铁企业创新的“进阶”速度。</w:t>
      </w:r>
    </w:p>
    <w:p w14:paraId="5CC006E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目前，华为、阿里巴巴、中兴通讯等数字技术头部企业，东北大学、燕山大学、河北工业大学等高校科研团队，在这场产学研协同的“数字熔炼”中，将前沿技术的智慧火花注入钢铁洪流，照亮河北钢铁产业的转型之路。</w:t>
      </w:r>
    </w:p>
    <w:p w14:paraId="4DD2B8D8">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“算”出产业共赢长远账</w:t>
      </w:r>
    </w:p>
    <w:p w14:paraId="0C9D0D3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算清当下效益，铺稳创新基石，河北已将目光投向更远处，瞄准“打造世界一流的现代化钢铁产业”，精心谋划一本关乎产业整体发展与持久竞争力的长远账。</w:t>
      </w:r>
    </w:p>
    <w:p w14:paraId="36BED2D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这本账算的不是一时盈亏，而是当“产量第一”遇到“算力第一”，如何将二者优势深度融合，提升中国钢铁产业的持久竞争力。</w:t>
      </w:r>
    </w:p>
    <w:p w14:paraId="06C350F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钢铁大模型在河北全省多点开花，其背后是目标清晰、措施有力的顶层设计。”国家智能制造专家委员会委员刘晶表示，河北省前瞻性布局算力基础设施，出台“人工智能+钢铁”等专项行动计划，内生需求与政策利好加持，让河北钢铁企业完成从“炼钢”到“炼数”的跨越。</w:t>
      </w:r>
    </w:p>
    <w:p w14:paraId="4474FAC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当前的成效，证明了河北从建设算力到产业应用的能力，而未来的挑战在于如何将算力资源优势，转化为可持续的产业竞争优势和价值创造优势。”刘晶说，目前钢铁大模型的应用多集中在河钢这样资金、技术雄厚的头部企业，如何将算力红利以标准化、模块化、低成本的方式，赋能数量庞大的中小型钢铁企业，形成“万木成林”的产业生态，是下一步的重点。</w:t>
      </w:r>
    </w:p>
    <w:p w14:paraId="30B34FD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河北钢铁的这笔长远账关键要落在“普惠”与“共享”上。河北省工业和信息化厅钢铁处处长张晓辉告诉记者，一方面，要让更多的中小钢企能跟上、不掉队，河北试点发放“算力券”，以真金白银补贴企业购买算力服务，帮助企业降低应用大模型技术的初始成本；另一方面，为中小钢企打造支撑数智化变革的公共“智慧大脑”，建设河北省钢铁工业垂直大模型应用服务平台，让企业能像用水用电一样，便捷、低成本地使用智能服务。</w:t>
      </w:r>
    </w:p>
    <w:p w14:paraId="61F8BA4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根据相关工作规划，已完成系统开发的河北省钢铁工业垂直大模型应用服务平台，2026年将完成试点城市重点钢企全覆盖，并向省内产业集群推广，2028年起辐射华北地区钢企，2030年拓展至全国。</w:t>
      </w:r>
    </w:p>
    <w:p w14:paraId="26F9B2F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“让河北的算力不仅炼好自家的钢，更能将智能解决方案打造成可对外服务的产品，引领全国钢铁行业探索有效转型路径。”张晓辉说。</w:t>
      </w:r>
    </w:p>
    <w:p w14:paraId="1A2F502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从重点扶持向普遍赋能，这本长远账算的是从单点突破到整体跃升的路径，谋的是从钢铁大省到钢铁强省的蝶变。</w:t>
      </w:r>
    </w:p>
    <w:p w14:paraId="72F74E94">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ascii="仿宋" w:hAnsi="仿宋" w:eastAsia="仿宋" w:cs="仿宋"/>
          <w:sz w:val="28"/>
          <w:szCs w:val="28"/>
        </w:rPr>
        <w:t>从钢铁与算力两个“全国第一”在河北深度融合的“三本账”算下来，传统产业的重资产与大体量不再是包袱，而是培育新质生产力的肥沃土壤。“这场深刻的产业变革，不仅见证了一个钢铁大省坚定转型的探索，也将为全球钢铁工业的智能化、绿色化跃迁，提供一份可资借鉴的‘中国方案’。”刘晶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0B797C"/>
    <w:rsid w:val="01AF6145"/>
    <w:rsid w:val="140B797C"/>
    <w:rsid w:val="2EF90180"/>
    <w:rsid w:val="36094E83"/>
    <w:rsid w:val="3F713878"/>
    <w:rsid w:val="412A43BC"/>
    <w:rsid w:val="486C478D"/>
    <w:rsid w:val="7BBC56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2026-04-21T10:35:00Z</dcterms:created>
  <dc:creator>姣</dc:creator>
  <cp:lastModifiedBy>姣</cp:lastModifiedBy>
  <dcterms:modified xsi:type="dcterms:W3CDTF">2026-04-21T10:39:15Z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2C1C35DA0F74496C9B65837688C2D694_11</vt:lpwstr>
  </property>
  <property fmtid="{D5CDD505-2E9C-101B-9397-08002B2CF9AE}" pid="4" name="KSOTemplateDocerSaveRecord">
    <vt:lpwstr>eyJoZGlkIjoiMDMzZDQ3ZGViOWUxMDlkZWNlZmI3YjVmZGU1OTllNmMiLCJ1c2VySWQiOiI0NDA0MjM4MTkifQ==</vt:lpwstr>
  </property>
</Properties>
</file>